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8B" w:rsidRPr="00E1018B" w:rsidRDefault="00E1018B" w:rsidP="00E1018B">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E1018B">
        <w:rPr>
          <w:rFonts w:ascii="Arial" w:hAnsi="Arial" w:cs="Arial"/>
          <w:bCs/>
          <w:spacing w:val="-3"/>
          <w:sz w:val="22"/>
          <w:szCs w:val="22"/>
        </w:rPr>
        <w:t xml:space="preserve">The </w:t>
      </w:r>
      <w:smartTag w:uri="urn:schemas-microsoft-com:office:smarttags" w:element="place">
        <w:smartTag w:uri="urn:schemas-microsoft-com:office:smarttags" w:element="State">
          <w:r w:rsidRPr="00E1018B">
            <w:rPr>
              <w:rFonts w:ascii="Arial" w:hAnsi="Arial" w:cs="Arial"/>
              <w:bCs/>
              <w:i/>
              <w:spacing w:val="-3"/>
              <w:sz w:val="22"/>
              <w:szCs w:val="22"/>
            </w:rPr>
            <w:t>Queensland</w:t>
          </w:r>
        </w:smartTag>
      </w:smartTag>
      <w:r w:rsidRPr="00E1018B">
        <w:rPr>
          <w:rFonts w:ascii="Arial" w:hAnsi="Arial" w:cs="Arial"/>
          <w:bCs/>
          <w:i/>
          <w:spacing w:val="-3"/>
          <w:sz w:val="22"/>
          <w:szCs w:val="22"/>
        </w:rPr>
        <w:t xml:space="preserve"> Heritage and Other Legislation Amendment Act 2007 </w:t>
      </w:r>
      <w:r w:rsidRPr="00E1018B">
        <w:rPr>
          <w:rFonts w:ascii="Arial" w:hAnsi="Arial" w:cs="Arial"/>
          <w:bCs/>
          <w:spacing w:val="-3"/>
          <w:sz w:val="22"/>
          <w:szCs w:val="22"/>
        </w:rPr>
        <w:t xml:space="preserve">(QHOLAA) has impacted on development in two ways: </w:t>
      </w:r>
    </w:p>
    <w:p w:rsidR="00E1018B" w:rsidRPr="00E1018B" w:rsidRDefault="00E1018B" w:rsidP="00E1018B">
      <w:pPr>
        <w:numPr>
          <w:ilvl w:val="0"/>
          <w:numId w:val="16"/>
        </w:numPr>
        <w:spacing w:before="120"/>
        <w:ind w:left="811"/>
        <w:jc w:val="both"/>
        <w:rPr>
          <w:rFonts w:ascii="Arial" w:hAnsi="Arial" w:cs="Arial"/>
          <w:bCs/>
          <w:spacing w:val="-3"/>
          <w:sz w:val="22"/>
          <w:szCs w:val="22"/>
        </w:rPr>
      </w:pPr>
      <w:r w:rsidRPr="00E1018B">
        <w:rPr>
          <w:rFonts w:ascii="Arial" w:hAnsi="Arial" w:cs="Arial"/>
          <w:bCs/>
          <w:spacing w:val="-3"/>
          <w:sz w:val="22"/>
          <w:szCs w:val="22"/>
        </w:rPr>
        <w:t xml:space="preserve">upon commencement of the QHOLAA on 31 March 2008, heritage places identified by local Councils became ‘local heritage places’ under the </w:t>
      </w:r>
      <w:smartTag w:uri="urn:schemas-microsoft-com:office:smarttags" w:element="place">
        <w:smartTag w:uri="urn:schemas-microsoft-com:office:smarttags" w:element="State">
          <w:r w:rsidRPr="00E1018B">
            <w:rPr>
              <w:rFonts w:ascii="Arial" w:hAnsi="Arial" w:cs="Arial"/>
              <w:bCs/>
              <w:i/>
              <w:spacing w:val="-3"/>
              <w:sz w:val="22"/>
              <w:szCs w:val="22"/>
            </w:rPr>
            <w:t>Queensland</w:t>
          </w:r>
        </w:smartTag>
      </w:smartTag>
      <w:r w:rsidRPr="00E1018B">
        <w:rPr>
          <w:rFonts w:ascii="Arial" w:hAnsi="Arial" w:cs="Arial"/>
          <w:bCs/>
          <w:i/>
          <w:spacing w:val="-3"/>
          <w:sz w:val="22"/>
          <w:szCs w:val="22"/>
        </w:rPr>
        <w:t xml:space="preserve"> Heritage Act 1992</w:t>
      </w:r>
      <w:r w:rsidRPr="00E1018B">
        <w:rPr>
          <w:rFonts w:ascii="Arial" w:hAnsi="Arial" w:cs="Arial"/>
          <w:bCs/>
          <w:spacing w:val="-3"/>
          <w:sz w:val="22"/>
          <w:szCs w:val="22"/>
        </w:rPr>
        <w:t>; and</w:t>
      </w:r>
    </w:p>
    <w:p w:rsidR="00E1018B" w:rsidRPr="00E1018B" w:rsidRDefault="00E1018B" w:rsidP="00E1018B">
      <w:pPr>
        <w:numPr>
          <w:ilvl w:val="0"/>
          <w:numId w:val="16"/>
        </w:numPr>
        <w:spacing w:before="120"/>
        <w:ind w:left="811"/>
        <w:jc w:val="both"/>
        <w:rPr>
          <w:rFonts w:ascii="Arial" w:hAnsi="Arial" w:cs="Arial"/>
          <w:bCs/>
          <w:spacing w:val="-3"/>
          <w:sz w:val="22"/>
          <w:szCs w:val="22"/>
        </w:rPr>
      </w:pPr>
      <w:r w:rsidRPr="00E1018B">
        <w:rPr>
          <w:rFonts w:ascii="Arial" w:hAnsi="Arial" w:cs="Arial"/>
          <w:bCs/>
          <w:spacing w:val="-3"/>
          <w:sz w:val="22"/>
          <w:szCs w:val="22"/>
        </w:rPr>
        <w:t xml:space="preserve">the </w:t>
      </w:r>
      <w:r w:rsidRPr="00E1018B">
        <w:rPr>
          <w:rFonts w:ascii="Arial" w:hAnsi="Arial" w:cs="Arial"/>
          <w:bCs/>
          <w:i/>
          <w:spacing w:val="-3"/>
          <w:sz w:val="22"/>
          <w:szCs w:val="22"/>
        </w:rPr>
        <w:t>Integrated Planning Act 1997</w:t>
      </w:r>
      <w:r w:rsidRPr="00E1018B">
        <w:rPr>
          <w:rFonts w:ascii="Arial" w:hAnsi="Arial" w:cs="Arial"/>
          <w:bCs/>
          <w:spacing w:val="-3"/>
          <w:sz w:val="22"/>
          <w:szCs w:val="22"/>
        </w:rPr>
        <w:t xml:space="preserve"> (IPA) was also amended so that all a</w:t>
      </w:r>
      <w:smartTag w:uri="urn:schemas-microsoft-com:office:smarttags" w:element="PersonName">
        <w:r w:rsidRPr="00E1018B">
          <w:rPr>
            <w:rFonts w:ascii="Arial" w:hAnsi="Arial" w:cs="Arial"/>
            <w:bCs/>
            <w:spacing w:val="-3"/>
            <w:sz w:val="22"/>
            <w:szCs w:val="22"/>
          </w:rPr>
          <w:t>sp</w:t>
        </w:r>
      </w:smartTag>
      <w:r w:rsidRPr="00E1018B">
        <w:rPr>
          <w:rFonts w:ascii="Arial" w:hAnsi="Arial" w:cs="Arial"/>
          <w:bCs/>
          <w:spacing w:val="-3"/>
          <w:sz w:val="22"/>
          <w:szCs w:val="22"/>
        </w:rPr>
        <w:t>ects of development on a local heritage place, other than development mentioned in Schedule 9 of IPA, constituted assessable development for which development approval must therefore be sought (even where it had previously been exempt from the need to seek a development approval).</w:t>
      </w:r>
    </w:p>
    <w:p w:rsidR="00E1018B" w:rsidRPr="00E1018B" w:rsidRDefault="00E1018B" w:rsidP="00E1018B">
      <w:pPr>
        <w:numPr>
          <w:ilvl w:val="0"/>
          <w:numId w:val="6"/>
        </w:numPr>
        <w:tabs>
          <w:tab w:val="clear" w:pos="720"/>
          <w:tab w:val="num" w:pos="360"/>
        </w:tabs>
        <w:spacing w:before="240"/>
        <w:ind w:left="360"/>
        <w:jc w:val="both"/>
        <w:rPr>
          <w:rFonts w:ascii="Arial" w:hAnsi="Arial" w:cs="Arial"/>
          <w:bCs/>
          <w:spacing w:val="-3"/>
          <w:sz w:val="22"/>
          <w:szCs w:val="22"/>
        </w:rPr>
      </w:pPr>
      <w:r w:rsidRPr="00E1018B">
        <w:rPr>
          <w:rFonts w:ascii="Arial" w:hAnsi="Arial" w:cs="Arial"/>
          <w:bCs/>
          <w:spacing w:val="-3"/>
          <w:sz w:val="22"/>
          <w:szCs w:val="22"/>
        </w:rPr>
        <w:t xml:space="preserve">It has become evident that the effect of these provisions has meant that all developments are now required to seek development approval if they involve a local heritage place.  This has consequently now captured significant State works which had previously been exempt from this requirement.  Further, the QHOLAA did not effect transitional provisions, which has meant that development applications lodged and approved, or lodged and not yet approved prior to </w:t>
      </w:r>
      <w:smartTag w:uri="urn:schemas-microsoft-com:office:smarttags" w:element="date">
        <w:smartTagPr>
          <w:attr w:name="Month" w:val="3"/>
          <w:attr w:name="Day" w:val="31"/>
          <w:attr w:name="Year" w:val="2008"/>
        </w:smartTagPr>
        <w:r w:rsidRPr="00E1018B">
          <w:rPr>
            <w:rFonts w:ascii="Arial" w:hAnsi="Arial" w:cs="Arial"/>
            <w:bCs/>
            <w:spacing w:val="-3"/>
            <w:sz w:val="22"/>
            <w:szCs w:val="22"/>
          </w:rPr>
          <w:t>31 March 2008</w:t>
        </w:r>
      </w:smartTag>
      <w:r w:rsidRPr="00E1018B">
        <w:rPr>
          <w:rFonts w:ascii="Arial" w:hAnsi="Arial" w:cs="Arial"/>
          <w:bCs/>
          <w:spacing w:val="-3"/>
          <w:sz w:val="22"/>
          <w:szCs w:val="22"/>
        </w:rPr>
        <w:t xml:space="preserve">, have been required, retrospectively, to seek development approval for works relevant to a local heritage place.  </w:t>
      </w:r>
    </w:p>
    <w:p w:rsidR="00E1018B" w:rsidRDefault="00E1018B" w:rsidP="00E1018B">
      <w:pPr>
        <w:numPr>
          <w:ilvl w:val="0"/>
          <w:numId w:val="6"/>
        </w:numPr>
        <w:tabs>
          <w:tab w:val="clear" w:pos="720"/>
          <w:tab w:val="num" w:pos="360"/>
        </w:tabs>
        <w:spacing w:before="240"/>
        <w:ind w:left="360"/>
        <w:jc w:val="both"/>
        <w:rPr>
          <w:rFonts w:ascii="Arial" w:hAnsi="Arial" w:cs="Arial"/>
          <w:bCs/>
          <w:spacing w:val="-3"/>
          <w:sz w:val="22"/>
          <w:szCs w:val="22"/>
        </w:rPr>
      </w:pPr>
      <w:r w:rsidRPr="00E1018B">
        <w:rPr>
          <w:rFonts w:ascii="Arial" w:hAnsi="Arial" w:cs="Arial"/>
          <w:bCs/>
          <w:spacing w:val="-3"/>
          <w:sz w:val="22"/>
          <w:szCs w:val="22"/>
        </w:rPr>
        <w:t xml:space="preserve">Legislative amendment is now required to Schedule 8 of </w:t>
      </w:r>
      <w:r w:rsidR="003E15B0">
        <w:rPr>
          <w:rFonts w:ascii="Arial" w:hAnsi="Arial" w:cs="Arial"/>
          <w:bCs/>
          <w:spacing w:val="-3"/>
          <w:sz w:val="22"/>
          <w:szCs w:val="22"/>
        </w:rPr>
        <w:t xml:space="preserve">IPA </w:t>
      </w:r>
      <w:r w:rsidRPr="00E1018B">
        <w:rPr>
          <w:rFonts w:ascii="Arial" w:hAnsi="Arial" w:cs="Arial"/>
          <w:bCs/>
          <w:spacing w:val="-3"/>
          <w:sz w:val="22"/>
          <w:szCs w:val="22"/>
        </w:rPr>
        <w:t xml:space="preserve">to make: </w:t>
      </w:r>
    </w:p>
    <w:p w:rsidR="00E1018B" w:rsidRPr="00E1018B" w:rsidRDefault="00E1018B" w:rsidP="00E1018B">
      <w:pPr>
        <w:numPr>
          <w:ilvl w:val="0"/>
          <w:numId w:val="16"/>
        </w:numPr>
        <w:spacing w:before="120"/>
        <w:ind w:left="811"/>
        <w:jc w:val="both"/>
        <w:rPr>
          <w:rFonts w:ascii="Arial" w:hAnsi="Arial" w:cs="Arial"/>
          <w:bCs/>
          <w:spacing w:val="-3"/>
          <w:sz w:val="22"/>
          <w:szCs w:val="22"/>
        </w:rPr>
      </w:pPr>
      <w:r w:rsidRPr="00E1018B">
        <w:rPr>
          <w:rFonts w:ascii="Arial" w:hAnsi="Arial" w:cs="Arial"/>
          <w:bCs/>
          <w:spacing w:val="-3"/>
          <w:sz w:val="22"/>
          <w:szCs w:val="22"/>
        </w:rPr>
        <w:t>significant State works that involve a local heritage place exempt from having to seek development approval from local Councils, with effect from 31 March 2008; and</w:t>
      </w:r>
    </w:p>
    <w:p w:rsidR="00E1018B" w:rsidRPr="00E1018B" w:rsidRDefault="00E1018B" w:rsidP="00E1018B">
      <w:pPr>
        <w:numPr>
          <w:ilvl w:val="0"/>
          <w:numId w:val="16"/>
        </w:numPr>
        <w:spacing w:before="120"/>
        <w:ind w:left="811"/>
        <w:jc w:val="both"/>
        <w:rPr>
          <w:rFonts w:ascii="Arial" w:hAnsi="Arial" w:cs="Arial"/>
          <w:bCs/>
          <w:spacing w:val="-3"/>
          <w:sz w:val="22"/>
          <w:szCs w:val="22"/>
        </w:rPr>
      </w:pPr>
      <w:r w:rsidRPr="00E1018B">
        <w:rPr>
          <w:rFonts w:ascii="Arial" w:hAnsi="Arial" w:cs="Arial"/>
          <w:bCs/>
          <w:spacing w:val="-3"/>
          <w:sz w:val="22"/>
          <w:szCs w:val="22"/>
        </w:rPr>
        <w:t xml:space="preserve">private development applications exempt that were lodged, and had or had not received approval, before the commencement of the </w:t>
      </w:r>
      <w:r w:rsidR="003E15B0" w:rsidRPr="00E1018B">
        <w:rPr>
          <w:rFonts w:ascii="Arial" w:hAnsi="Arial" w:cs="Arial"/>
          <w:bCs/>
          <w:spacing w:val="-3"/>
          <w:sz w:val="22"/>
          <w:szCs w:val="22"/>
        </w:rPr>
        <w:t>QHOLAA</w:t>
      </w:r>
      <w:r w:rsidRPr="00E1018B">
        <w:rPr>
          <w:rFonts w:ascii="Arial" w:hAnsi="Arial" w:cs="Arial"/>
          <w:bCs/>
          <w:spacing w:val="-3"/>
          <w:sz w:val="22"/>
          <w:szCs w:val="22"/>
        </w:rPr>
        <w:t xml:space="preserve"> on 31 March 2008.</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8C61C8">
        <w:rPr>
          <w:rFonts w:ascii="Arial" w:hAnsi="Arial" w:cs="Arial"/>
          <w:sz w:val="22"/>
          <w:szCs w:val="22"/>
        </w:rPr>
        <w:t xml:space="preserve">the introduction into the Legislative Assembly of </w:t>
      </w:r>
      <w:r w:rsidR="003E15B0" w:rsidRPr="003E15B0">
        <w:rPr>
          <w:rFonts w:ascii="Arial" w:hAnsi="Arial" w:cs="Arial"/>
          <w:sz w:val="22"/>
          <w:szCs w:val="22"/>
        </w:rPr>
        <w:t>amendments</w:t>
      </w:r>
      <w:r w:rsidR="003E15B0">
        <w:rPr>
          <w:rFonts w:ascii="Arial" w:hAnsi="Arial" w:cs="Arial"/>
          <w:sz w:val="22"/>
          <w:szCs w:val="22"/>
        </w:rPr>
        <w:t xml:space="preserve"> to</w:t>
      </w:r>
      <w:r w:rsidR="003E15B0" w:rsidRPr="003E15B0">
        <w:rPr>
          <w:rFonts w:ascii="Arial" w:hAnsi="Arial" w:cs="Arial"/>
          <w:sz w:val="22"/>
          <w:szCs w:val="22"/>
        </w:rPr>
        <w:t xml:space="preserve"> the </w:t>
      </w:r>
      <w:r w:rsidR="003E15B0" w:rsidRPr="003E15B0">
        <w:rPr>
          <w:rFonts w:ascii="Arial" w:hAnsi="Arial" w:cs="Arial"/>
          <w:i/>
          <w:iCs/>
          <w:sz w:val="22"/>
          <w:szCs w:val="22"/>
        </w:rPr>
        <w:t>Integrated Planning Act 1997</w:t>
      </w:r>
      <w:r w:rsidR="003E15B0">
        <w:rPr>
          <w:rFonts w:ascii="Arial" w:hAnsi="Arial" w:cs="Arial"/>
          <w:i/>
          <w:iCs/>
          <w:sz w:val="22"/>
          <w:szCs w:val="22"/>
        </w:rPr>
        <w:t xml:space="preserve"> </w:t>
      </w:r>
      <w:r w:rsidR="008500BD">
        <w:rPr>
          <w:rFonts w:ascii="Arial" w:hAnsi="Arial" w:cs="Arial"/>
          <w:sz w:val="22"/>
          <w:szCs w:val="22"/>
        </w:rPr>
        <w:t>to effect the required changes</w:t>
      </w:r>
      <w:r w:rsidRPr="003E15B0">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3E15B0" w:rsidRPr="003E15B0" w:rsidRDefault="000D6AF5" w:rsidP="00F10DF9">
      <w:pPr>
        <w:numPr>
          <w:ilvl w:val="0"/>
          <w:numId w:val="8"/>
        </w:numPr>
        <w:spacing w:before="120"/>
        <w:ind w:left="811"/>
        <w:jc w:val="both"/>
        <w:rPr>
          <w:rFonts w:ascii="Arial" w:hAnsi="Arial" w:cs="Arial"/>
          <w:sz w:val="22"/>
          <w:szCs w:val="22"/>
        </w:rPr>
      </w:pPr>
      <w:hyperlink r:id="rId7" w:history="1">
        <w:r w:rsidR="008500BD" w:rsidRPr="00501961">
          <w:rPr>
            <w:rStyle w:val="Hyperlink"/>
            <w:rFonts w:ascii="Arial" w:hAnsi="Arial" w:cs="Arial"/>
            <w:iCs/>
            <w:sz w:val="22"/>
            <w:szCs w:val="22"/>
            <w:lang w:val="en-US"/>
          </w:rPr>
          <w:t>Revenue and Other Legislation Amendment Bill (No. 2) 2008</w:t>
        </w:r>
      </w:hyperlink>
      <w:r w:rsidR="008500BD">
        <w:rPr>
          <w:rFonts w:ascii="Arial" w:hAnsi="Arial" w:cs="Arial"/>
          <w:iCs/>
          <w:sz w:val="22"/>
          <w:szCs w:val="22"/>
          <w:lang w:val="en-US"/>
        </w:rPr>
        <w:t xml:space="preserve"> </w:t>
      </w:r>
      <w:r w:rsidR="008500BD" w:rsidRPr="008500BD">
        <w:rPr>
          <w:rFonts w:ascii="Arial" w:hAnsi="Arial" w:cs="Arial"/>
          <w:i/>
          <w:iCs/>
          <w:sz w:val="22"/>
          <w:szCs w:val="22"/>
          <w:lang w:val="en-US"/>
        </w:rPr>
        <w:t>(amendments incorporated into this Bill)</w:t>
      </w:r>
    </w:p>
    <w:p w:rsidR="003E15B0" w:rsidRPr="003E15B0" w:rsidRDefault="000D6AF5" w:rsidP="00F10DF9">
      <w:pPr>
        <w:numPr>
          <w:ilvl w:val="0"/>
          <w:numId w:val="8"/>
        </w:numPr>
        <w:spacing w:before="120"/>
        <w:ind w:left="811"/>
        <w:jc w:val="both"/>
        <w:rPr>
          <w:rFonts w:ascii="Arial" w:hAnsi="Arial" w:cs="Arial"/>
          <w:sz w:val="22"/>
          <w:szCs w:val="22"/>
        </w:rPr>
      </w:pPr>
      <w:hyperlink r:id="rId8" w:history="1">
        <w:r w:rsidR="003E15B0" w:rsidRPr="00501961">
          <w:rPr>
            <w:rStyle w:val="Hyperlink"/>
            <w:rFonts w:ascii="Arial" w:hAnsi="Arial" w:cs="Arial"/>
            <w:iCs/>
            <w:sz w:val="22"/>
            <w:szCs w:val="22"/>
          </w:rPr>
          <w:t>Explanatory Notes</w:t>
        </w:r>
      </w:hyperlink>
    </w:p>
    <w:sectPr w:rsidR="003E15B0" w:rsidRPr="003E15B0"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04" w:rsidRDefault="00154704">
      <w:r>
        <w:separator/>
      </w:r>
    </w:p>
  </w:endnote>
  <w:endnote w:type="continuationSeparator" w:id="0">
    <w:p w:rsidR="00154704" w:rsidRDefault="0015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0" w:rsidRPr="001141E1" w:rsidRDefault="002A1500"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04" w:rsidRDefault="00154704">
      <w:r>
        <w:separator/>
      </w:r>
    </w:p>
  </w:footnote>
  <w:footnote w:type="continuationSeparator" w:id="0">
    <w:p w:rsidR="00154704" w:rsidRDefault="00154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0" w:rsidRPr="000400F9" w:rsidRDefault="00024D4C"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A1500" w:rsidRPr="000400F9">
      <w:rPr>
        <w:rFonts w:ascii="Arial" w:hAnsi="Arial" w:cs="Arial"/>
        <w:b/>
        <w:sz w:val="22"/>
        <w:szCs w:val="22"/>
        <w:u w:val="single"/>
      </w:rPr>
      <w:t xml:space="preserve">Cabinet – </w:t>
    </w:r>
    <w:r w:rsidR="002A1500">
      <w:rPr>
        <w:rFonts w:ascii="Arial" w:hAnsi="Arial" w:cs="Arial"/>
        <w:b/>
        <w:sz w:val="22"/>
        <w:szCs w:val="22"/>
        <w:u w:val="single"/>
      </w:rPr>
      <w:t>November 2008</w:t>
    </w:r>
  </w:p>
  <w:p w:rsidR="002A1500" w:rsidRDefault="002A1500" w:rsidP="000400F9">
    <w:pPr>
      <w:pStyle w:val="Header"/>
      <w:spacing w:before="120"/>
      <w:rPr>
        <w:rFonts w:ascii="Arial" w:hAnsi="Arial" w:cs="Arial"/>
        <w:b/>
        <w:sz w:val="22"/>
        <w:szCs w:val="22"/>
        <w:u w:val="single"/>
      </w:rPr>
    </w:pPr>
    <w:r w:rsidRPr="00E1018B">
      <w:rPr>
        <w:rFonts w:ascii="Arial" w:hAnsi="Arial" w:cs="Arial"/>
        <w:b/>
        <w:sz w:val="22"/>
        <w:szCs w:val="22"/>
        <w:u w:val="single"/>
      </w:rPr>
      <w:t xml:space="preserve">Amendments to the </w:t>
    </w:r>
    <w:r w:rsidRPr="00E1018B">
      <w:rPr>
        <w:rFonts w:ascii="Arial" w:hAnsi="Arial" w:cs="Arial"/>
        <w:b/>
        <w:i/>
        <w:sz w:val="22"/>
        <w:szCs w:val="22"/>
        <w:u w:val="single"/>
      </w:rPr>
      <w:t>Integrated Planning Act 1997</w:t>
    </w:r>
  </w:p>
  <w:p w:rsidR="002A1500" w:rsidRDefault="002A1500" w:rsidP="000400F9">
    <w:pPr>
      <w:pStyle w:val="Header"/>
      <w:spacing w:before="120"/>
      <w:rPr>
        <w:rFonts w:ascii="Arial" w:hAnsi="Arial" w:cs="Arial"/>
        <w:b/>
        <w:sz w:val="22"/>
        <w:szCs w:val="22"/>
        <w:u w:val="single"/>
      </w:rPr>
    </w:pPr>
    <w:r w:rsidRPr="00E1018B">
      <w:rPr>
        <w:rFonts w:ascii="Arial" w:hAnsi="Arial" w:cs="Arial"/>
        <w:b/>
        <w:sz w:val="22"/>
        <w:szCs w:val="22"/>
        <w:u w:val="single"/>
      </w:rPr>
      <w:t>Deputy Premier and Minister for Infrastructure and Planning</w:t>
    </w:r>
  </w:p>
  <w:p w:rsidR="002A1500" w:rsidRPr="00F10DF9" w:rsidRDefault="002A1500"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0D7910DF"/>
    <w:multiLevelType w:val="hybridMultilevel"/>
    <w:tmpl w:val="E4DE9EA6"/>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E3023E8"/>
    <w:multiLevelType w:val="singleLevel"/>
    <w:tmpl w:val="C32CED3C"/>
    <w:lvl w:ilvl="0">
      <w:start w:val="1"/>
      <w:numFmt w:val="decimal"/>
      <w:lvlRestart w:val="0"/>
      <w:lvlText w:val="%1"/>
      <w:lvlJc w:val="center"/>
      <w:pPr>
        <w:tabs>
          <w:tab w:val="num" w:pos="0"/>
        </w:tabs>
        <w:ind w:left="0" w:firstLine="288"/>
      </w:pPr>
      <w:rPr>
        <w:rFonts w:hint="default"/>
      </w:rPr>
    </w:lvl>
  </w:abstractNum>
  <w:abstractNum w:abstractNumId="9" w15:restartNumberingAfterBreak="0">
    <w:nsid w:val="6EA33CF2"/>
    <w:multiLevelType w:val="multilevel"/>
    <w:tmpl w:val="AECC3B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57E3A92"/>
    <w:multiLevelType w:val="hybridMultilevel"/>
    <w:tmpl w:val="D0525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4"/>
  </w:num>
  <w:num w:numId="5">
    <w:abstractNumId w:val="3"/>
  </w:num>
  <w:num w:numId="6">
    <w:abstractNumId w:val="15"/>
  </w:num>
  <w:num w:numId="7">
    <w:abstractNumId w:val="14"/>
  </w:num>
  <w:num w:numId="8">
    <w:abstractNumId w:val="12"/>
  </w:num>
  <w:num w:numId="9">
    <w:abstractNumId w:val="10"/>
  </w:num>
  <w:num w:numId="10">
    <w:abstractNumId w:val="6"/>
  </w:num>
  <w:num w:numId="11">
    <w:abstractNumId w:val="5"/>
  </w:num>
  <w:num w:numId="12">
    <w:abstractNumId w:val="8"/>
  </w:num>
  <w:num w:numId="13">
    <w:abstractNumId w:val="9"/>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4CE"/>
    <w:rsid w:val="00021B34"/>
    <w:rsid w:val="00024D4C"/>
    <w:rsid w:val="000400F9"/>
    <w:rsid w:val="000630B9"/>
    <w:rsid w:val="000B545C"/>
    <w:rsid w:val="000D6AF5"/>
    <w:rsid w:val="000E047C"/>
    <w:rsid w:val="001141E1"/>
    <w:rsid w:val="0012289B"/>
    <w:rsid w:val="00133013"/>
    <w:rsid w:val="00133A34"/>
    <w:rsid w:val="00154704"/>
    <w:rsid w:val="00160524"/>
    <w:rsid w:val="0017237C"/>
    <w:rsid w:val="00227466"/>
    <w:rsid w:val="00254E35"/>
    <w:rsid w:val="0028053C"/>
    <w:rsid w:val="00296BD8"/>
    <w:rsid w:val="002A1500"/>
    <w:rsid w:val="002F57E4"/>
    <w:rsid w:val="00314FEB"/>
    <w:rsid w:val="0032048B"/>
    <w:rsid w:val="00346156"/>
    <w:rsid w:val="00382380"/>
    <w:rsid w:val="003A269C"/>
    <w:rsid w:val="003A2E0F"/>
    <w:rsid w:val="003A7587"/>
    <w:rsid w:val="003C3732"/>
    <w:rsid w:val="003E15B0"/>
    <w:rsid w:val="00435BE5"/>
    <w:rsid w:val="0048019C"/>
    <w:rsid w:val="00486A99"/>
    <w:rsid w:val="004E6C38"/>
    <w:rsid w:val="00501961"/>
    <w:rsid w:val="00562AE4"/>
    <w:rsid w:val="0056401D"/>
    <w:rsid w:val="00582907"/>
    <w:rsid w:val="005B1D9B"/>
    <w:rsid w:val="005C224F"/>
    <w:rsid w:val="005D1B02"/>
    <w:rsid w:val="006100CC"/>
    <w:rsid w:val="00644076"/>
    <w:rsid w:val="006631CF"/>
    <w:rsid w:val="00682036"/>
    <w:rsid w:val="006B3B54"/>
    <w:rsid w:val="006D0869"/>
    <w:rsid w:val="006E6713"/>
    <w:rsid w:val="006F36EA"/>
    <w:rsid w:val="007060D7"/>
    <w:rsid w:val="00710AAE"/>
    <w:rsid w:val="00726F36"/>
    <w:rsid w:val="00796B3E"/>
    <w:rsid w:val="007A25F4"/>
    <w:rsid w:val="007A6599"/>
    <w:rsid w:val="007D3B9D"/>
    <w:rsid w:val="007F52D6"/>
    <w:rsid w:val="0082040E"/>
    <w:rsid w:val="00845A5E"/>
    <w:rsid w:val="00845D3E"/>
    <w:rsid w:val="008500BD"/>
    <w:rsid w:val="008A5F1B"/>
    <w:rsid w:val="008B7E17"/>
    <w:rsid w:val="008C3732"/>
    <w:rsid w:val="008C61C8"/>
    <w:rsid w:val="008F44CD"/>
    <w:rsid w:val="00922A5B"/>
    <w:rsid w:val="009D0C12"/>
    <w:rsid w:val="009F5476"/>
    <w:rsid w:val="009F5A37"/>
    <w:rsid w:val="00A01D43"/>
    <w:rsid w:val="00A20C0E"/>
    <w:rsid w:val="00A30F55"/>
    <w:rsid w:val="00A354FF"/>
    <w:rsid w:val="00A4194C"/>
    <w:rsid w:val="00A527A5"/>
    <w:rsid w:val="00A7272B"/>
    <w:rsid w:val="00AA128C"/>
    <w:rsid w:val="00AB6637"/>
    <w:rsid w:val="00AD71E5"/>
    <w:rsid w:val="00AE1995"/>
    <w:rsid w:val="00AF5AB9"/>
    <w:rsid w:val="00B40BDF"/>
    <w:rsid w:val="00BF34A3"/>
    <w:rsid w:val="00C07656"/>
    <w:rsid w:val="00C46822"/>
    <w:rsid w:val="00C613BC"/>
    <w:rsid w:val="00C805EC"/>
    <w:rsid w:val="00C85B71"/>
    <w:rsid w:val="00CE6FBA"/>
    <w:rsid w:val="00D3603F"/>
    <w:rsid w:val="00D54601"/>
    <w:rsid w:val="00D84933"/>
    <w:rsid w:val="00DC334B"/>
    <w:rsid w:val="00DD3CD5"/>
    <w:rsid w:val="00DD497C"/>
    <w:rsid w:val="00DF4650"/>
    <w:rsid w:val="00E1018B"/>
    <w:rsid w:val="00E463C2"/>
    <w:rsid w:val="00EA00BF"/>
    <w:rsid w:val="00EE4BD3"/>
    <w:rsid w:val="00EE70A1"/>
    <w:rsid w:val="00F10DF9"/>
    <w:rsid w:val="00F651F1"/>
    <w:rsid w:val="00F744A6"/>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PortfolioBullet">
    <w:name w:val="Portfolio_Bullet"/>
    <w:basedOn w:val="Normal"/>
    <w:rsid w:val="00E1018B"/>
    <w:pPr>
      <w:keepLines/>
      <w:numPr>
        <w:numId w:val="14"/>
      </w:numPr>
      <w:spacing w:after="240"/>
      <w:jc w:val="both"/>
    </w:pPr>
    <w:rPr>
      <w:rFonts w:ascii="Arial" w:hAnsi="Arial"/>
      <w:sz w:val="22"/>
      <w:szCs w:val="20"/>
      <w:lang w:eastAsia="en-US"/>
    </w:rPr>
  </w:style>
  <w:style w:type="paragraph" w:customStyle="1" w:styleId="PortfolioBullet2">
    <w:name w:val="Portfolio_Bullet2"/>
    <w:basedOn w:val="Normal"/>
    <w:rsid w:val="00E1018B"/>
    <w:pPr>
      <w:keepLines/>
      <w:numPr>
        <w:ilvl w:val="1"/>
        <w:numId w:val="14"/>
      </w:numPr>
      <w:spacing w:after="240"/>
      <w:jc w:val="both"/>
    </w:pPr>
    <w:rPr>
      <w:rFonts w:ascii="Arial" w:hAnsi="Arial"/>
      <w:sz w:val="22"/>
      <w:szCs w:val="20"/>
      <w:lang w:eastAsia="en-US"/>
    </w:rPr>
  </w:style>
  <w:style w:type="paragraph" w:customStyle="1" w:styleId="PortfolioBullet3">
    <w:name w:val="Portfolio_Bullet3"/>
    <w:basedOn w:val="Normal"/>
    <w:rsid w:val="00E1018B"/>
    <w:pPr>
      <w:keepLines/>
      <w:numPr>
        <w:ilvl w:val="2"/>
        <w:numId w:val="14"/>
      </w:numPr>
      <w:spacing w:after="240"/>
      <w:jc w:val="both"/>
    </w:pPr>
    <w:rPr>
      <w:rFonts w:ascii="Arial" w:hAnsi="Arial"/>
      <w:sz w:val="22"/>
      <w:szCs w:val="20"/>
      <w:lang w:eastAsia="en-US"/>
    </w:rPr>
  </w:style>
  <w:style w:type="paragraph" w:customStyle="1" w:styleId="CharCharChar">
    <w:name w:val="Char Char Char"/>
    <w:basedOn w:val="Normal"/>
    <w:rsid w:val="00E1018B"/>
    <w:pPr>
      <w:keepNext/>
      <w:spacing w:after="160" w:line="240" w:lineRule="exact"/>
      <w:ind w:left="540" w:firstLine="6"/>
    </w:pPr>
    <w:rPr>
      <w:rFonts w:ascii="Verdana" w:hAnsi="Verdana" w:cs="Arial"/>
      <w:bCs/>
      <w:sz w:val="20"/>
      <w:szCs w:val="22"/>
      <w:lang w:val="en-US" w:eastAsia="en-US"/>
    </w:rPr>
  </w:style>
  <w:style w:type="character" w:styleId="Hyperlink">
    <w:name w:val="Hyperlink"/>
    <w:basedOn w:val="DefaultParagraphFont"/>
    <w:rsid w:val="00501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venueOLAB208Exp.pdf" TargetMode="External"/><Relationship Id="rId3" Type="http://schemas.openxmlformats.org/officeDocument/2006/relationships/settings" Target="settings.xml"/><Relationship Id="rId7" Type="http://schemas.openxmlformats.org/officeDocument/2006/relationships/hyperlink" Target="Attachments/RevenueOLAB2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1612</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1905</CharactersWithSpaces>
  <SharedDoc>false</SharedDoc>
  <HyperlinkBase>https://www.cabinet.qld.gov.au/documents/2008/Nov/Amendments to IPA re Heritage legislation/</HyperlinkBase>
  <HLinks>
    <vt:vector size="12" baseType="variant">
      <vt:variant>
        <vt:i4>82</vt:i4>
      </vt:variant>
      <vt:variant>
        <vt:i4>3</vt:i4>
      </vt:variant>
      <vt:variant>
        <vt:i4>0</vt:i4>
      </vt:variant>
      <vt:variant>
        <vt:i4>5</vt:i4>
      </vt:variant>
      <vt:variant>
        <vt:lpwstr>Attachments/RevenueOLAB208Exp.pdf</vt:lpwstr>
      </vt:variant>
      <vt:variant>
        <vt:lpwstr/>
      </vt:variant>
      <vt:variant>
        <vt:i4>2359421</vt:i4>
      </vt:variant>
      <vt:variant>
        <vt:i4>0</vt:i4>
      </vt:variant>
      <vt:variant>
        <vt:i4>0</vt:i4>
      </vt:variant>
      <vt:variant>
        <vt:i4>5</vt:i4>
      </vt:variant>
      <vt:variant>
        <vt:lpwstr>Attachments/RevenueOLAB208.pdf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2017-10-24T07:45:00Z</dcterms:created>
  <dcterms:modified xsi:type="dcterms:W3CDTF">2018-03-06T00:52:00Z</dcterms:modified>
  <cp:category>Heritage,Planning</cp:category>
</cp:coreProperties>
</file>